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Перевод с англ. языка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Конкурс Европейского Союза слепых (ЕСС)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«Всемирное брайлевское эссе Онкио Брайль 2017»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ОБЩИЕ ПРАВИЛА</w:t>
      </w:r>
    </w:p>
    <w:p>
      <w:pPr>
        <w:pStyle w:val="Normal"/>
        <w:tabs>
          <w:tab w:leader="none" w:pos="350" w:val="left"/>
        </w:tabs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1.</w:t>
        <w:tab/>
        <w:t>Цель и тема</w:t>
      </w:r>
    </w:p>
    <w:p>
      <w:pPr>
        <w:pStyle w:val="Normal"/>
        <w:tabs>
          <w:tab w:leader="none" w:pos="729" w:val="left"/>
        </w:tabs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1.1.</w:t>
        <w:tab/>
        <w:t>Конкурс «Европейское брайлевское эссе» проводит Европейский Союз слепых от имени компаний «Онкио Корпорейшн» и «Брайль Майничи» с целью поощрения незрячих к использованию Брайля в качестве инструмента для доступа к информации и включения в жизнь общества.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1. 2. Мы предлагаем для конкурса разнообразные темы с тем, чтобы участники могли рассмотреть важность знания Брайля с разных точек зрения. Важно: необязательно выбирать тему из списка, участники могут предложить свою тему, связанную с использованием Брайля.</w:t>
      </w:r>
    </w:p>
    <w:p>
      <w:pPr>
        <w:pStyle w:val="Normal"/>
        <w:tabs>
          <w:tab w:leader="none" w:pos="336" w:val="left"/>
        </w:tabs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-</w:t>
        <w:tab/>
        <w:t>«Роль Брайля в вовлечении людей с нарушением зрения в политическую, экономическую, культурную, общественную и семейную жизнь». Брайль в век технологий, использование Брайля в любом возрасте, Брайль и участие в выборах - лишь несколько примеров того, как можно интерпретировать основную тему.</w:t>
      </w:r>
    </w:p>
    <w:p>
      <w:pPr>
        <w:pStyle w:val="Normal"/>
        <w:tabs>
          <w:tab w:leader="none" w:pos="336" w:val="left"/>
        </w:tabs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-</w:t>
        <w:tab/>
        <w:t>«Жизнь с Брайлем - мы призываем написать о роли Брайля учителей, переводчиков на язык Брайля, тех, кто так или иначе использует Брайль или хотел бы использовать». Приветствуется как основанные на фактах, так и творческие произведения, с описанием новых возможностей и идей для продвижения использования Брайля во всей Европе.</w:t>
      </w:r>
    </w:p>
    <w:p>
      <w:pPr>
        <w:pStyle w:val="Normal"/>
        <w:tabs>
          <w:tab w:leader="none" w:pos="264" w:val="left"/>
        </w:tabs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-</w:t>
        <w:tab/>
        <w:t>«Забавные истории о Брайле».</w:t>
      </w:r>
    </w:p>
    <w:p>
      <w:pPr>
        <w:pStyle w:val="Normal"/>
        <w:tabs>
          <w:tab w:leader="none" w:pos="264" w:val="left"/>
        </w:tabs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-</w:t>
        <w:tab/>
        <w:t>«Будущее Брайля».</w:t>
      </w:r>
    </w:p>
    <w:p>
      <w:pPr>
        <w:pStyle w:val="Normal"/>
        <w:tabs>
          <w:tab w:leader="none" w:pos="340" w:val="left"/>
        </w:tabs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-</w:t>
        <w:tab/>
        <w:t>«Какие преимущества и недостатки есть у Брайля по сравнению с речевыми синтезаторами, аудиокнигами и печатью»</w:t>
      </w:r>
    </w:p>
    <w:p>
      <w:pPr>
        <w:pStyle w:val="Normal"/>
        <w:tabs>
          <w:tab w:leader="none" w:pos="264" w:val="left"/>
        </w:tabs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-</w:t>
        <w:tab/>
        <w:t>«Брайль и музыка»</w:t>
      </w:r>
    </w:p>
    <w:p>
      <w:pPr>
        <w:pStyle w:val="Normal"/>
        <w:tabs>
          <w:tab w:leader="none" w:pos="264" w:val="left"/>
        </w:tabs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-</w:t>
        <w:tab/>
        <w:t>«Брайль и доступ к туризму»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При подаче заявки об участии, члены ЕСС также могут предлагать дополнительные темы, особенно подходящие им в национальном контексте.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Авторы могут интерпретировать темы, используя свое воображение, а также писать произведения не только в виде рассказа от первого лица, но и используя такие форматы, как письмо или интервью.</w:t>
      </w:r>
    </w:p>
    <w:p>
      <w:pPr>
        <w:pStyle w:val="Normal"/>
        <w:tabs>
          <w:tab w:leader="none" w:pos="448" w:val="left"/>
        </w:tabs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2.</w:t>
        <w:tab/>
        <w:t>Общие условия</w:t>
      </w:r>
    </w:p>
    <w:p>
      <w:pPr>
        <w:pStyle w:val="Normal"/>
        <w:tabs>
          <w:tab w:leader="none" w:pos="603" w:val="left"/>
        </w:tabs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2.1.</w:t>
        <w:tab/>
        <w:t>Кандидаты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В конкурсе имеют право принять участие все пользователи Брайля,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проживающие в Европейских странах и Израиле, независимо от возраста.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Повторное участие разрешается, за исключением победителей, занявших 1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место, которые не допускаются до участия в конкурсе на протяжении последующих 3 лет.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Профессиональные писатели, чьи произведения регулярно публикуются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на открытом рынке средств коммуникации за вознаграждение, не должны принимать участие в конкурсе.</w:t>
      </w:r>
    </w:p>
    <w:p>
      <w:pPr>
        <w:pStyle w:val="Normal"/>
        <w:tabs>
          <w:tab w:leader="none" w:pos="603" w:val="left"/>
        </w:tabs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2.2.</w:t>
        <w:tab/>
        <w:t>Эссе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Эссе предоставляются в цифровом формате.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Кандидаты не могут представить более одного эссе.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Предоставленное однажды эссе не может быть подано снова на последующие конкурсы.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Эссе должно быть написано на английском языке или на родном языке автора.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В эссе на родном языке должно быть не более 1000 слов (допускается плюс- минус 10%).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Эссе должно содержать следующую информацию: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• Ф.И.О., пол и возраст кандидата,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® страна,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® Ф.И.О. национального члена ЕСС, ответственного за обработку заявки,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количество слов на родном языке.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Важно: вышеупомянутая информация должна быть указана в самом начале, перед заголовком эссе.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Национальные члены должны представить в ЕСС все полученные ими эссе.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Решение жюри является окончательным и не подлежит обсуждению ни при каких обстоятельствах.</w:t>
      </w:r>
    </w:p>
    <w:p>
      <w:pPr>
        <w:pStyle w:val="Normal"/>
        <w:tabs>
          <w:tab w:leader="none" w:pos="585" w:val="left"/>
        </w:tabs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2.3.</w:t>
        <w:tab/>
        <w:t>Авторское право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Принимая участие в конкурсе,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Авторы автоматически и эксклюзивно передают Европейскому Союзу слепых все права, включая авторское право, а ЕСС может передавать или лицензировать эти права.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Авторы разрешают ЕСС использовать свое имя и эссе в публичных и информационных целях для нужд ЕСС.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В качестве владельца авторских прав ЕСС может давать разрешение авторам и национальным членам использовать эссе по своему усмотрению.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Лауреаты Онкио передают ЕСС свои фотографии и право копировать, адаптировать, редактировать и публиковать фотографии любым способом, включая электронную и печатную форму.</w:t>
      </w:r>
    </w:p>
    <w:p>
      <w:pPr>
        <w:pStyle w:val="Normal"/>
        <w:tabs>
          <w:tab w:leader="none" w:pos="395" w:val="left"/>
        </w:tabs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3.</w:t>
        <w:tab/>
        <w:t>Порядок действий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Кандидаты должны предоставить свое эссе национальным членам ЕСС в соответствующих странах (в России это Всероссийское общество слепых - ВОС, Москва, 109012, Новая площадь, 14) не позднее 19 мая 2017 года.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Национальные члены ЕСС должны произвести предварительный отбор с тем, чтобы предоставить отборочной комиссии не более 5 заявок до 30 июня 2017 года. Они должны при этом проинформировать ЕСС об общем количестве полученных и обработанных эссе.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 xml:space="preserve">Национальные члены ЕСС должны перевести выбранные эссе на английский язык и выслать их отборочной комиссии в электронной форме (в формате </w:t>
      </w:r>
      <w:r>
        <w:rPr>
          <w:lang w:val="en-US" w:eastAsia="en-US" w:bidi="en-US"/>
          <w:b w:val="0"/>
          <w:bCs w:val="0"/>
          <w:i w:val="0"/>
          <w:iCs w:val="0"/>
          <w:u w:val="none"/>
          <w:smallCaps w:val="0"/>
        </w:rPr>
        <w:t xml:space="preserve">word, </w:t>
      </w:r>
      <w:r>
        <w:rPr>
          <w:b w:val="0"/>
          <w:bCs w:val="0"/>
          <w:i w:val="0"/>
          <w:iCs w:val="0"/>
          <w:u w:val="none"/>
          <w:smallCaps w:val="0"/>
        </w:rPr>
        <w:t xml:space="preserve">шрифт </w:t>
      </w:r>
      <w:r>
        <w:rPr>
          <w:lang w:val="en-US" w:eastAsia="en-US" w:bidi="en-US"/>
          <w:b w:val="0"/>
          <w:bCs w:val="0"/>
          <w:i w:val="0"/>
          <w:iCs w:val="0"/>
          <w:u w:val="none"/>
          <w:smallCaps w:val="0"/>
        </w:rPr>
        <w:t xml:space="preserve">Arial </w:t>
      </w:r>
      <w:r>
        <w:rPr>
          <w:b w:val="0"/>
          <w:bCs w:val="0"/>
          <w:i w:val="0"/>
          <w:iCs w:val="0"/>
          <w:u w:val="none"/>
          <w:smallCaps w:val="0"/>
        </w:rPr>
        <w:t>14).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Пожалуйста, дайте файлу с вашим эссе название по следующему образцу: Страна_Имя_Фамилия автора.</w:t>
      </w:r>
    </w:p>
    <w:p>
      <w:pPr>
        <w:pStyle w:val="Normal"/>
        <w:tabs>
          <w:tab w:leader="none" w:pos="395" w:val="left"/>
        </w:tabs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4.</w:t>
        <w:tab/>
        <w:t>Премии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• Высшая премия Отзуки (первая премия): 2 000 долларов США</w:t>
      </w:r>
    </w:p>
    <w:p>
      <w:pPr>
        <w:pStyle w:val="Normal"/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® Премия за отличную работу:</w:t>
      </w:r>
    </w:p>
    <w:p>
      <w:pPr>
        <w:pStyle w:val="Normal"/>
        <w:tabs>
          <w:tab w:leader="none" w:pos="277" w:val="left"/>
        </w:tabs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-</w:t>
        <w:tab/>
        <w:t>Категория юниоры (до 25 лет): 1 000 долларов США</w:t>
      </w:r>
    </w:p>
    <w:p>
      <w:pPr>
        <w:pStyle w:val="Normal"/>
        <w:tabs>
          <w:tab w:leader="none" w:pos="277" w:val="left"/>
        </w:tabs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-</w:t>
        <w:tab/>
        <w:t>Старшая категория (от 25 лет): 1 000 долларов США • Премии за хорошую работу:</w:t>
      </w:r>
    </w:p>
    <w:p>
      <w:pPr>
        <w:pStyle w:val="Normal"/>
        <w:tabs>
          <w:tab w:leader="none" w:pos="277" w:val="left"/>
        </w:tabs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-</w:t>
        <w:tab/>
        <w:t>Категория юниоры (2 премии): 500 долларов США</w:t>
      </w:r>
    </w:p>
    <w:p>
      <w:pPr>
        <w:pStyle w:val="Normal"/>
        <w:tabs>
          <w:tab w:leader="none" w:pos="282" w:val="left"/>
        </w:tabs>
        <w:widowControl w:val="0"/>
      </w:pPr>
      <w:r>
        <w:rPr>
          <w:b w:val="0"/>
          <w:bCs w:val="0"/>
          <w:i w:val="0"/>
          <w:iCs w:val="0"/>
          <w:u w:val="none"/>
          <w:smallCaps w:val="0"/>
        </w:rPr>
        <w:t>-</w:t>
        <w:tab/>
        <w:t>Старшая категория (2 премии): 500 долларов США</w:t>
      </w:r>
    </w:p>
    <w:sectPr>
      <w:footnotePr>
        <w:pos w:val="pageBottom"/>
        <w:numFmt w:val="decimal"/>
        <w:numRestart w:val="continuous"/>
      </w:footnotePr>
      <w:type w:val="continuous"/>
      <w:pgSz w:w="11909" w:h="16840"/>
      <w:pgMar w:top="1430" w:left="1440" w:right="1440" w:bottom="143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